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79" w:rsidRPr="00781B8E" w:rsidRDefault="00F67779" w:rsidP="00781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Результаты работы в рамках муниципального земельного контроля за 2017и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704"/>
        <w:gridCol w:w="2262"/>
        <w:gridCol w:w="2262"/>
      </w:tblGrid>
      <w:tr w:rsidR="00781B8E" w:rsidRPr="00781B8E" w:rsidTr="00781B8E">
        <w:tc>
          <w:tcPr>
            <w:tcW w:w="2117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4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81B8E" w:rsidRPr="00781B8E" w:rsidTr="00781B8E">
        <w:tc>
          <w:tcPr>
            <w:tcW w:w="2117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4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проведено проверок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781B8E" w:rsidRPr="00781B8E" w:rsidTr="00781B8E">
        <w:tc>
          <w:tcPr>
            <w:tcW w:w="2117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4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81B8E" w:rsidRPr="00781B8E" w:rsidTr="00781B8E">
        <w:tc>
          <w:tcPr>
            <w:tcW w:w="2117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4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B8E">
              <w:rPr>
                <w:rFonts w:ascii="Times New Roman" w:hAnsi="Times New Roman" w:cs="Times New Roman"/>
                <w:sz w:val="28"/>
                <w:szCs w:val="28"/>
              </w:rPr>
              <w:t>Направлено материалов по подведомственности в межмуниципальный отдел по Красноярскому, Елховскому районам Управления Росреестра по Самарской области для рассмотрения вопроса о возбуждении дел об административных правонарушениях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2" w:type="dxa"/>
          </w:tcPr>
          <w:p w:rsidR="00781B8E" w:rsidRPr="00781B8E" w:rsidRDefault="00781B8E" w:rsidP="00F67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</w:tbl>
    <w:p w:rsidR="00781B8E" w:rsidRDefault="00781B8E" w:rsidP="00781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8E" w:rsidRDefault="00781B8E" w:rsidP="0078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 xml:space="preserve">В 2018 году на основании распоряжений Администрации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</w:t>
      </w:r>
      <w:r w:rsidRPr="00781B8E">
        <w:rPr>
          <w:rFonts w:ascii="Times New Roman" w:hAnsi="Times New Roman" w:cs="Times New Roman"/>
          <w:sz w:val="28"/>
          <w:szCs w:val="28"/>
        </w:rPr>
        <w:t xml:space="preserve">района Красноярский Самарской области «Об утверждении рейдового задания на проведение рейдовых осмотров, обследований земельных участков (территории)» проведено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81B8E">
        <w:rPr>
          <w:rFonts w:ascii="Times New Roman" w:hAnsi="Times New Roman" w:cs="Times New Roman"/>
          <w:sz w:val="28"/>
          <w:szCs w:val="28"/>
        </w:rPr>
        <w:t xml:space="preserve"> осмотров земельных участков, отнесенных к категории земель – земли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B8E" w:rsidRPr="00781B8E" w:rsidRDefault="00781B8E" w:rsidP="00781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Планируется продолжать осуществление контроля за: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установленным режимом использования земельных участков в соответствии с их целевым назначением;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781B8E" w:rsidRPr="00781B8E" w:rsidRDefault="00781B8E" w:rsidP="00781B8E">
      <w:pPr>
        <w:spacing w:after="0" w:line="240" w:lineRule="auto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t>- сроками освоения земельных участков, если такие сроки установлены законодательством РФ.</w:t>
      </w:r>
    </w:p>
    <w:p w:rsidR="00781B8E" w:rsidRPr="00781B8E" w:rsidRDefault="00781B8E" w:rsidP="00781B8E">
      <w:pPr>
        <w:pStyle w:val="ConsPlusNonformat"/>
        <w:spacing w:after="240"/>
        <w:ind w:right="-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81B8E">
        <w:rPr>
          <w:rFonts w:ascii="Times New Roman" w:hAnsi="Times New Roman" w:cs="Times New Roman"/>
          <w:sz w:val="28"/>
          <w:szCs w:val="28"/>
        </w:rPr>
        <w:lastRenderedPageBreak/>
        <w:t>- исполнения предписаний по вопросам соблюдения установленных требований по использованию земель и устранения нарушений в использовании земель, выданных инспекторами по муниципальному земельному контролю.</w:t>
      </w:r>
    </w:p>
    <w:p w:rsidR="009971AF" w:rsidRPr="00781B8E" w:rsidRDefault="009971AF" w:rsidP="00781B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1AF" w:rsidRPr="0078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3A"/>
    <w:rsid w:val="00210A3A"/>
    <w:rsid w:val="00781B8E"/>
    <w:rsid w:val="009971AF"/>
    <w:rsid w:val="00F6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A0186-621E-427D-A943-559AC8FD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81B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2019-02-26T10:01:00Z</dcterms:created>
  <dcterms:modified xsi:type="dcterms:W3CDTF">2019-02-26T10:18:00Z</dcterms:modified>
</cp:coreProperties>
</file>